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p>
    <w:p>
      <w:pPr>
        <w:jc w:val="center"/>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eastAsia="zh-CN"/>
        </w:rPr>
        <w:t>各职业</w:t>
      </w:r>
      <w:r>
        <w:rPr>
          <w:rFonts w:hint="eastAsia" w:ascii="黑体" w:hAnsi="黑体" w:eastAsia="黑体" w:cs="黑体"/>
          <w:b/>
          <w:bCs/>
          <w:color w:val="auto"/>
          <w:sz w:val="32"/>
          <w:szCs w:val="32"/>
          <w:highlight w:val="none"/>
        </w:rPr>
        <w:t>报名条件</w:t>
      </w:r>
    </w:p>
    <w:p>
      <w:pPr>
        <w:keepNext w:val="0"/>
        <w:keepLines w:val="0"/>
        <w:pageBreakBefore w:val="0"/>
        <w:kinsoku/>
        <w:wordWrap/>
        <w:overflowPunct/>
        <w:topLinePunct w:val="0"/>
        <w:autoSpaceDE/>
        <w:autoSpaceDN/>
        <w:bidi w:val="0"/>
        <w:adjustRightInd/>
        <w:snapToGrid/>
        <w:spacing w:line="48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（一）</w:t>
      </w:r>
      <w:r>
        <w:rPr>
          <w:rFonts w:hint="eastAsia" w:ascii="仿宋" w:hAnsi="仿宋" w:eastAsia="仿宋" w:cs="仿宋"/>
          <w:color w:val="auto"/>
          <w:sz w:val="32"/>
          <w:szCs w:val="32"/>
          <w:highlight w:val="none"/>
        </w:rPr>
        <w:t>申报健康管理师（三级）须符合以下条件之一：</w:t>
      </w:r>
    </w:p>
    <w:p>
      <w:pPr>
        <w:keepNext w:val="0"/>
        <w:keepLines w:val="0"/>
        <w:pageBreakBefore w:val="0"/>
        <w:kinsoku/>
        <w:wordWrap/>
        <w:overflowPunct/>
        <w:topLinePunct w:val="0"/>
        <w:autoSpaceDE/>
        <w:autoSpaceDN/>
        <w:bidi w:val="0"/>
        <w:adjustRightInd/>
        <w:snapToGrid/>
        <w:spacing w:line="48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具有医药卫生专业大学专科以上学历证书。</w:t>
      </w:r>
    </w:p>
    <w:p>
      <w:pPr>
        <w:keepNext w:val="0"/>
        <w:keepLines w:val="0"/>
        <w:pageBreakBefore w:val="0"/>
        <w:kinsoku/>
        <w:wordWrap/>
        <w:overflowPunct/>
        <w:topLinePunct w:val="0"/>
        <w:autoSpaceDE/>
        <w:autoSpaceDN/>
        <w:bidi w:val="0"/>
        <w:adjustRightInd/>
        <w:snapToGrid/>
        <w:spacing w:line="48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具有非医药卫生</w:t>
      </w:r>
      <w:bookmarkStart w:id="0" w:name="_GoBack"/>
      <w:bookmarkEnd w:id="0"/>
      <w:r>
        <w:rPr>
          <w:rFonts w:hint="eastAsia" w:ascii="仿宋" w:hAnsi="仿宋" w:eastAsia="仿宋" w:cs="仿宋"/>
          <w:color w:val="auto"/>
          <w:sz w:val="32"/>
          <w:szCs w:val="32"/>
          <w:highlight w:val="none"/>
        </w:rPr>
        <w:t>专业大学专科以上学历证书，连续从事本职业或相关职业工作</w:t>
      </w:r>
      <w:r>
        <w:rPr>
          <w:rFonts w:ascii="仿宋" w:hAnsi="仿宋" w:eastAsia="仿宋" w:cs="仿宋"/>
          <w:color w:val="auto"/>
          <w:sz w:val="32"/>
          <w:szCs w:val="32"/>
          <w:highlight w:val="none"/>
        </w:rPr>
        <w:t>2</w:t>
      </w:r>
      <w:r>
        <w:rPr>
          <w:rFonts w:hint="eastAsia" w:ascii="仿宋" w:hAnsi="仿宋" w:eastAsia="仿宋" w:cs="仿宋"/>
          <w:color w:val="auto"/>
          <w:sz w:val="32"/>
          <w:szCs w:val="32"/>
          <w:highlight w:val="none"/>
        </w:rPr>
        <w:t>年以上，经三级健康管理师正规培训达规定标准学时数，并取得结业证书。</w:t>
      </w:r>
    </w:p>
    <w:p>
      <w:pPr>
        <w:keepNext w:val="0"/>
        <w:keepLines w:val="0"/>
        <w:pageBreakBefore w:val="0"/>
        <w:kinsoku/>
        <w:wordWrap/>
        <w:overflowPunct/>
        <w:topLinePunct w:val="0"/>
        <w:autoSpaceDE/>
        <w:autoSpaceDN/>
        <w:bidi w:val="0"/>
        <w:adjustRightInd/>
        <w:snapToGrid/>
        <w:spacing w:line="480" w:lineRule="exact"/>
        <w:ind w:firstLine="480" w:firstLineChars="15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具有医药卫生</w:t>
      </w:r>
      <w:r>
        <w:rPr>
          <w:rFonts w:hint="eastAsia" w:ascii="仿宋" w:hAnsi="仿宋" w:eastAsia="仿宋" w:cs="仿宋"/>
          <w:color w:val="auto"/>
          <w:sz w:val="32"/>
          <w:szCs w:val="32"/>
          <w:highlight w:val="none"/>
          <w:lang w:eastAsia="zh-CN"/>
        </w:rPr>
        <w:t>专业</w:t>
      </w:r>
      <w:r>
        <w:rPr>
          <w:rFonts w:hint="eastAsia" w:ascii="仿宋" w:hAnsi="仿宋" w:eastAsia="仿宋" w:cs="仿宋"/>
          <w:color w:val="auto"/>
          <w:sz w:val="32"/>
          <w:szCs w:val="32"/>
          <w:highlight w:val="none"/>
        </w:rPr>
        <w:t>中等专科以上学历证书，连续从事本职业或相关职业工作</w:t>
      </w:r>
      <w:r>
        <w:rPr>
          <w:rFonts w:ascii="仿宋" w:hAnsi="仿宋" w:eastAsia="仿宋" w:cs="仿宋"/>
          <w:color w:val="auto"/>
          <w:sz w:val="32"/>
          <w:szCs w:val="32"/>
          <w:highlight w:val="none"/>
        </w:rPr>
        <w:t>3</w:t>
      </w:r>
      <w:r>
        <w:rPr>
          <w:rFonts w:hint="eastAsia" w:ascii="仿宋" w:hAnsi="仿宋" w:eastAsia="仿宋" w:cs="仿宋"/>
          <w:color w:val="auto"/>
          <w:sz w:val="32"/>
          <w:szCs w:val="32"/>
          <w:highlight w:val="none"/>
        </w:rPr>
        <w:t>年以上，经三级健康管理师正规培训达规定标准学时数，并取得结业证书。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（二）申报口腔修复体制作工（三级）须符合以下条件之一：</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1.取得本职业或相关职业四级/中级工职业资格证书（技能等级证书）后，累计从事本职业或相关职业工作5年（含）以上。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取得本职业或相关职业四级/中级工职业资格证书（技能等级证书），并具有高级技工学校、技师学院毕业证书（含尚未取得毕业证书的在校应届毕业生）；或取得本职业或相关职业四级/中级工职业资格证书（技能等级证书），并具有经评估论证、以高级技能为培养目标的高等职业学校本专业或相关专业毕业证书（含尚未取得毕业证书的在校应届毕业生）。</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3.具有大专及以上本专业或相关专业毕业证书，并取得本职业或相关职业四级/中级工职业资格证书（技能等级证书）后，累计从事本职业或相关职业工作2年（含）以上。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4.取得本科及以上本专业毕业证书（含尚未取得毕业证书的在校应届毕业生）。</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（三）申报口腔修复体制作工（四级）须符合以下条件之一：</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1.取得本职业或相关职业五级/初级工职业资格证书（技能等级证书）后，累计从事本职业或相关职业工作4年（含）以上。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2.累计从事本职业或相关职业工作6年（含）以上。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取得技工学校本专业或相关专业毕业证书（含尚未取得毕业证书的在校应届毕业生）；或取得经评估论证、以中级技能培养目标的中等及以上职业学校本专业或相关专业毕业证书（含尚未取得毕业证书的在校应届毕业生）。</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相关职业指口腔科医师、口腔科护士、口腔医学技师以及教师（从事口腔修复工艺、口腔医学技术教育）等；相关专业指口腔义齿制造、口腔修复工艺、口腔医学技术、口腔医学技术（口腔修复工艺）、生物医学工程等。</w:t>
      </w:r>
    </w:p>
    <w:p>
      <w:pPr>
        <w:rPr>
          <w:rFonts w:hint="eastAsia" w:ascii="黑体" w:hAnsi="黑体" w:eastAsia="黑体" w:cs="黑体"/>
          <w:b/>
          <w:bCs/>
          <w:color w:val="000000" w:themeColor="text1"/>
          <w:sz w:val="32"/>
          <w:szCs w:val="32"/>
          <w:highlight w:val="none"/>
          <w14:textFill>
            <w14:solidFill>
              <w14:schemeClr w14:val="tx1"/>
            </w14:solidFill>
          </w14:textFill>
        </w:rPr>
      </w:pPr>
    </w:p>
    <w:p>
      <w:pPr>
        <w:rPr>
          <w:rFonts w:hint="default"/>
          <w:color w:val="000000" w:themeColor="text1"/>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C16133"/>
    <w:rsid w:val="14E96A34"/>
    <w:rsid w:val="2FC16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2020-07-27T08:55:00Z</dcterms:created>
  <dc:creator>清泉无声</dc:creator>
  <cp:lastModifiedBy>Dell</cp:lastModifiedBy>
  <dcterms:modified xsi:type="dcterms:W3CDTF">2020-07-29T01:50:10Z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